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TECHNICAL INFORMATION SHEET</w:t>
      </w:r>
    </w:p>
    <w:p w14:paraId="315E1AEF" w14:textId="565C0F63" w:rsidR="001541D4" w:rsidRPr="00BA2363" w:rsidRDefault="001541D4" w:rsidP="003E6F57">
      <w:pPr>
        <w:spacing w:after="0" w:line="240" w:lineRule="auto"/>
        <w:ind w:right="4"/>
        <w:contextualSpacing/>
        <w:jc w:val="center"/>
        <w:rPr>
          <w:rFonts w:ascii="Cambria" w:eastAsia="Batang" w:hAnsi="Cambria"/>
          <w:b/>
          <w:color w:val="000000" w:themeColor="text1"/>
        </w:rPr>
      </w:pPr>
      <w:r w:rsidRPr="00BA2363">
        <w:rPr>
          <w:rFonts w:ascii="Cambria" w:eastAsia="Batang" w:hAnsi="Cambria"/>
          <w:b/>
          <w:color w:val="000000" w:themeColor="text1"/>
        </w:rPr>
        <w:t xml:space="preserve">CASE </w:t>
      </w:r>
      <w:r w:rsidR="0012317E" w:rsidRPr="00BA2363">
        <w:rPr>
          <w:rFonts w:ascii="Cambria" w:eastAsia="Batang" w:hAnsi="Cambria"/>
          <w:b/>
          <w:color w:val="000000" w:themeColor="text1"/>
        </w:rPr>
        <w:t>13.020</w:t>
      </w:r>
      <w:r w:rsidR="00684FB4" w:rsidRPr="00BA2363">
        <w:rPr>
          <w:rFonts w:ascii="Cambria" w:eastAsia="Batang" w:hAnsi="Cambria"/>
          <w:b/>
          <w:color w:val="000000" w:themeColor="text1"/>
        </w:rPr>
        <w:t xml:space="preserve"> CARLOS ANDRÉS FRATICELLI</w:t>
      </w:r>
    </w:p>
    <w:p w14:paraId="023C007F" w14:textId="055C5228" w:rsidR="001541D4" w:rsidRPr="00124D70" w:rsidRDefault="001541D4" w:rsidP="003E6F57">
      <w:pPr>
        <w:spacing w:after="0" w:line="240" w:lineRule="auto"/>
        <w:ind w:right="4"/>
        <w:contextualSpacing/>
        <w:jc w:val="center"/>
        <w:rPr>
          <w:rFonts w:ascii="Cambria" w:eastAsia="Batang" w:hAnsi="Cambria"/>
          <w:b/>
          <w:color w:val="000000" w:themeColor="text1"/>
        </w:rPr>
      </w:pPr>
      <w:r w:rsidRPr="00BA2363">
        <w:rPr>
          <w:rFonts w:ascii="Cambria" w:eastAsia="Batang" w:hAnsi="Cambria"/>
          <w:b/>
          <w:color w:val="000000" w:themeColor="text1"/>
        </w:rPr>
        <w:t>FRIENDLY SETTLEMENT REPORT No.</w:t>
      </w:r>
      <w:r w:rsidR="00684FB4" w:rsidRPr="00BA2363">
        <w:rPr>
          <w:rFonts w:ascii="Cambria" w:eastAsia="Batang" w:hAnsi="Cambria"/>
          <w:b/>
          <w:color w:val="000000" w:themeColor="text1"/>
        </w:rPr>
        <w:t xml:space="preserve"> </w:t>
      </w:r>
      <w:hyperlink r:id="rId12" w:history="1">
        <w:r w:rsidR="00684FB4" w:rsidRPr="00BA2363">
          <w:rPr>
            <w:rStyle w:val="Hyperlink"/>
            <w:rFonts w:ascii="Cambria" w:hAnsi="Cambria"/>
            <w:b/>
          </w:rPr>
          <w:t>220/23</w:t>
        </w:r>
      </w:hyperlink>
      <w:r w:rsidR="00684FB4" w:rsidRPr="00124D70">
        <w:rPr>
          <w:rFonts w:ascii="Cambria" w:eastAsia="Batang" w:hAnsi="Cambria"/>
          <w:b/>
          <w:color w:val="000000" w:themeColor="text1"/>
        </w:rPr>
        <w:t xml:space="preserve"> </w:t>
      </w:r>
    </w:p>
    <w:p w14:paraId="52EBA80E" w14:textId="77777777" w:rsidR="001541D4" w:rsidRPr="00124D70" w:rsidRDefault="001541D4" w:rsidP="003E6F57">
      <w:pPr>
        <w:spacing w:after="0" w:line="240" w:lineRule="auto"/>
        <w:ind w:right="4"/>
        <w:contextualSpacing/>
        <w:jc w:val="center"/>
        <w:rPr>
          <w:rFonts w:ascii="Cambria" w:eastAsia="Batang" w:hAnsi="Cambria"/>
          <w:b/>
          <w:color w:val="000000" w:themeColor="text1"/>
        </w:rPr>
      </w:pPr>
      <w:r w:rsidRPr="00124D70">
        <w:rPr>
          <w:rFonts w:ascii="Cambria" w:eastAsia="Batang" w:hAnsi="Cambria"/>
          <w:b/>
          <w:color w:val="000000" w:themeColor="text1"/>
        </w:rPr>
        <w:t>TOTAL COMPLIANCE</w:t>
      </w:r>
    </w:p>
    <w:p w14:paraId="359B0977" w14:textId="2C897D03"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BA2363">
        <w:rPr>
          <w:rFonts w:ascii="Cambria" w:eastAsia="Batang" w:hAnsi="Cambria"/>
          <w:b/>
          <w:color w:val="000000" w:themeColor="text1"/>
        </w:rPr>
        <w:t>(</w:t>
      </w:r>
      <w:r w:rsidR="00684FB4" w:rsidRPr="00BA2363">
        <w:rPr>
          <w:rFonts w:ascii="Cambria" w:eastAsia="Batang" w:hAnsi="Cambria"/>
          <w:b/>
          <w:color w:val="000000" w:themeColor="text1"/>
        </w:rPr>
        <w:t>ARGENTINA</w:t>
      </w:r>
      <w:r w:rsidRPr="00BA2363">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33665B" w14:paraId="58669F97" w14:textId="77777777" w:rsidTr="003E6F57">
        <w:trPr>
          <w:trHeight w:val="5967"/>
          <w:jc w:val="center"/>
        </w:trPr>
        <w:tc>
          <w:tcPr>
            <w:tcW w:w="9350" w:type="dxa"/>
            <w:shd w:val="clear" w:color="auto" w:fill="F2F2F2"/>
          </w:tcPr>
          <w:p w14:paraId="2102C080" w14:textId="77777777" w:rsidR="0012317E" w:rsidRPr="00BA2363" w:rsidRDefault="0012317E" w:rsidP="0012317E">
            <w:pPr>
              <w:pStyle w:val="NoSpacing"/>
              <w:tabs>
                <w:tab w:val="left" w:pos="9270"/>
              </w:tabs>
              <w:jc w:val="both"/>
              <w:rPr>
                <w:rFonts w:ascii="Cambria" w:hAnsi="Cambria"/>
                <w:color w:val="000000"/>
                <w:sz w:val="20"/>
                <w:szCs w:val="20"/>
                <w:lang w:val="es-AR"/>
              </w:rPr>
            </w:pPr>
            <w:r w:rsidRPr="00BA2363">
              <w:rPr>
                <w:rFonts w:ascii="Cambria" w:hAnsi="Cambria"/>
                <w:b/>
                <w:color w:val="000000"/>
                <w:sz w:val="20"/>
                <w:szCs w:val="20"/>
                <w:lang w:val="es-AR"/>
              </w:rPr>
              <w:t>Victim(s):</w:t>
            </w:r>
            <w:r w:rsidRPr="00BA2363">
              <w:rPr>
                <w:rFonts w:ascii="Cambria" w:hAnsi="Cambria"/>
                <w:color w:val="000000"/>
                <w:sz w:val="20"/>
                <w:szCs w:val="20"/>
                <w:lang w:val="es-AR"/>
              </w:rPr>
              <w:t xml:space="preserve"> Carlos Andrés Fraticelli</w:t>
            </w:r>
          </w:p>
          <w:p w14:paraId="019FC19A" w14:textId="77777777" w:rsidR="0012317E" w:rsidRPr="00BA2363" w:rsidRDefault="0012317E" w:rsidP="0012317E">
            <w:pPr>
              <w:pStyle w:val="NoSpacing"/>
              <w:tabs>
                <w:tab w:val="left" w:pos="9270"/>
              </w:tabs>
              <w:jc w:val="both"/>
              <w:rPr>
                <w:rFonts w:ascii="Cambria" w:hAnsi="Cambria"/>
                <w:color w:val="000000"/>
                <w:sz w:val="20"/>
                <w:szCs w:val="20"/>
                <w:lang w:val="es-CO"/>
              </w:rPr>
            </w:pPr>
            <w:r w:rsidRPr="00BA2363">
              <w:rPr>
                <w:rFonts w:ascii="Cambria" w:hAnsi="Cambria"/>
                <w:b/>
                <w:color w:val="000000"/>
                <w:sz w:val="20"/>
                <w:szCs w:val="20"/>
                <w:lang w:val="es-CO"/>
              </w:rPr>
              <w:t xml:space="preserve">Petitioner(s): </w:t>
            </w:r>
            <w:r w:rsidRPr="00BA2363">
              <w:rPr>
                <w:rFonts w:ascii="Cambria" w:hAnsi="Cambria"/>
                <w:bCs/>
                <w:color w:val="000000"/>
                <w:sz w:val="20"/>
                <w:szCs w:val="20"/>
                <w:lang w:val="es-CO"/>
              </w:rPr>
              <w:t>Carlos E. Edwards y Aurelio Cuello Murúa</w:t>
            </w:r>
          </w:p>
          <w:p w14:paraId="68D2CEEA" w14:textId="77777777" w:rsidR="0012317E" w:rsidRPr="00BA2363" w:rsidRDefault="0012317E" w:rsidP="0012317E">
            <w:pPr>
              <w:pStyle w:val="NoSpacing"/>
              <w:tabs>
                <w:tab w:val="left" w:pos="5026"/>
              </w:tabs>
              <w:jc w:val="both"/>
              <w:rPr>
                <w:rFonts w:ascii="Cambria" w:hAnsi="Cambria"/>
                <w:color w:val="000000"/>
                <w:sz w:val="20"/>
                <w:szCs w:val="20"/>
              </w:rPr>
            </w:pPr>
            <w:r w:rsidRPr="00BA2363">
              <w:rPr>
                <w:rFonts w:ascii="Cambria" w:hAnsi="Cambria"/>
                <w:b/>
                <w:color w:val="000000"/>
                <w:sz w:val="20"/>
                <w:szCs w:val="20"/>
              </w:rPr>
              <w:t xml:space="preserve">State: </w:t>
            </w:r>
            <w:r w:rsidRPr="00BA2363">
              <w:rPr>
                <w:rFonts w:ascii="Cambria" w:hAnsi="Cambria"/>
                <w:bCs/>
                <w:color w:val="000000"/>
                <w:sz w:val="20"/>
                <w:szCs w:val="20"/>
              </w:rPr>
              <w:t>Argentina</w:t>
            </w:r>
            <w:r w:rsidRPr="00BA2363">
              <w:rPr>
                <w:rFonts w:ascii="Cambria" w:hAnsi="Cambria"/>
                <w:color w:val="000000"/>
                <w:sz w:val="20"/>
                <w:szCs w:val="20"/>
              </w:rPr>
              <w:tab/>
            </w:r>
          </w:p>
          <w:p w14:paraId="7A58DA05" w14:textId="77777777" w:rsidR="0012317E" w:rsidRPr="00BA2363" w:rsidRDefault="0012317E" w:rsidP="0012317E">
            <w:pPr>
              <w:pStyle w:val="NoSpacing"/>
              <w:tabs>
                <w:tab w:val="left" w:pos="9270"/>
              </w:tabs>
              <w:jc w:val="both"/>
              <w:rPr>
                <w:rFonts w:ascii="Cambria" w:hAnsi="Cambria"/>
                <w:b/>
                <w:bCs/>
                <w:color w:val="000000"/>
                <w:sz w:val="20"/>
                <w:szCs w:val="20"/>
              </w:rPr>
            </w:pPr>
            <w:r w:rsidRPr="00BA2363">
              <w:rPr>
                <w:rFonts w:ascii="Cambria" w:hAnsi="Cambria"/>
                <w:b/>
                <w:bCs/>
                <w:color w:val="000000"/>
                <w:sz w:val="20"/>
                <w:szCs w:val="20"/>
              </w:rPr>
              <w:t xml:space="preserve">Beginning of the negotiation date: </w:t>
            </w:r>
            <w:r w:rsidRPr="00BA2363">
              <w:rPr>
                <w:rFonts w:ascii="Cambria" w:hAnsi="Cambria"/>
                <w:color w:val="000000"/>
                <w:sz w:val="20"/>
                <w:szCs w:val="20"/>
              </w:rPr>
              <w:t>May 28</w:t>
            </w:r>
            <w:r w:rsidRPr="00BA2363">
              <w:rPr>
                <w:rFonts w:ascii="Cambria" w:hAnsi="Cambria"/>
                <w:color w:val="000000"/>
                <w:sz w:val="20"/>
                <w:szCs w:val="20"/>
                <w:vertAlign w:val="superscript"/>
              </w:rPr>
              <w:t>th</w:t>
            </w:r>
            <w:r w:rsidRPr="00BA2363">
              <w:rPr>
                <w:rFonts w:ascii="Cambria" w:hAnsi="Cambria"/>
                <w:color w:val="000000"/>
                <w:sz w:val="20"/>
                <w:szCs w:val="20"/>
              </w:rPr>
              <w:t>, 2016</w:t>
            </w:r>
          </w:p>
          <w:p w14:paraId="3DB0F684" w14:textId="77777777" w:rsidR="0012317E" w:rsidRPr="00BA2363" w:rsidRDefault="0012317E" w:rsidP="0012317E">
            <w:pPr>
              <w:pStyle w:val="NoSpacing"/>
              <w:jc w:val="both"/>
              <w:rPr>
                <w:rFonts w:ascii="Cambria" w:hAnsi="Cambria"/>
                <w:color w:val="000000"/>
                <w:sz w:val="20"/>
                <w:szCs w:val="20"/>
              </w:rPr>
            </w:pPr>
            <w:r w:rsidRPr="00BA2363">
              <w:rPr>
                <w:rFonts w:ascii="Cambria" w:hAnsi="Cambria"/>
                <w:b/>
                <w:bCs/>
                <w:color w:val="000000"/>
                <w:sz w:val="20"/>
                <w:szCs w:val="20"/>
              </w:rPr>
              <w:t>FSA signature date:</w:t>
            </w:r>
            <w:r w:rsidRPr="00BA2363">
              <w:rPr>
                <w:rFonts w:ascii="Cambria" w:hAnsi="Cambria"/>
                <w:color w:val="000000"/>
                <w:sz w:val="20"/>
                <w:szCs w:val="20"/>
              </w:rPr>
              <w:t xml:space="preserve"> August 29, 2023</w:t>
            </w:r>
          </w:p>
          <w:p w14:paraId="48EDF3CE" w14:textId="77777777" w:rsidR="0012317E" w:rsidRPr="00BA2363" w:rsidRDefault="0012317E" w:rsidP="0012317E">
            <w:pPr>
              <w:pStyle w:val="NoSpacing"/>
              <w:tabs>
                <w:tab w:val="left" w:pos="9270"/>
              </w:tabs>
              <w:jc w:val="both"/>
              <w:rPr>
                <w:rFonts w:ascii="Cambria" w:hAnsi="Cambria"/>
                <w:sz w:val="20"/>
                <w:szCs w:val="20"/>
              </w:rPr>
            </w:pPr>
            <w:r w:rsidRPr="00BA2363">
              <w:rPr>
                <w:rFonts w:ascii="Cambria" w:hAnsi="Cambria"/>
                <w:b/>
                <w:color w:val="000000"/>
                <w:sz w:val="20"/>
                <w:szCs w:val="20"/>
              </w:rPr>
              <w:t>Report on Admissi</w:t>
            </w:r>
            <w:r w:rsidRPr="00BA2363">
              <w:rPr>
                <w:rFonts w:ascii="Cambria" w:hAnsi="Cambria"/>
                <w:b/>
                <w:sz w:val="20"/>
                <w:szCs w:val="20"/>
              </w:rPr>
              <w:t xml:space="preserve">bility No.: </w:t>
            </w:r>
            <w:hyperlink r:id="rId13" w:history="1">
              <w:r w:rsidRPr="00BA2363">
                <w:rPr>
                  <w:rStyle w:val="Hyperlink"/>
                  <w:rFonts w:ascii="Cambria" w:hAnsi="Cambria"/>
                  <w:b/>
                  <w:color w:val="auto"/>
                  <w:sz w:val="20"/>
                  <w:szCs w:val="20"/>
                </w:rPr>
                <w:t>10/16</w:t>
              </w:r>
            </w:hyperlink>
            <w:r w:rsidRPr="00BA2363">
              <w:rPr>
                <w:rFonts w:ascii="Cambria" w:hAnsi="Cambria"/>
                <w:b/>
                <w:sz w:val="20"/>
                <w:szCs w:val="20"/>
              </w:rPr>
              <w:t xml:space="preserve"> </w:t>
            </w:r>
            <w:r w:rsidRPr="00BA2363">
              <w:rPr>
                <w:rFonts w:ascii="Cambria" w:hAnsi="Cambria"/>
                <w:bCs/>
                <w:sz w:val="20"/>
                <w:szCs w:val="20"/>
              </w:rPr>
              <w:t>published on April 14, 2016</w:t>
            </w:r>
          </w:p>
          <w:p w14:paraId="6BAEF51C" w14:textId="77777777" w:rsidR="0012317E" w:rsidRPr="00BA2363" w:rsidRDefault="0012317E" w:rsidP="0012317E">
            <w:pPr>
              <w:pStyle w:val="NoSpacing"/>
              <w:tabs>
                <w:tab w:val="left" w:pos="9270"/>
              </w:tabs>
              <w:jc w:val="both"/>
              <w:rPr>
                <w:rFonts w:ascii="Cambria" w:hAnsi="Cambria"/>
                <w:color w:val="000000"/>
                <w:sz w:val="20"/>
                <w:szCs w:val="20"/>
              </w:rPr>
            </w:pPr>
            <w:r w:rsidRPr="00BA2363">
              <w:rPr>
                <w:rFonts w:ascii="Cambria" w:hAnsi="Cambria"/>
                <w:b/>
                <w:sz w:val="20"/>
                <w:szCs w:val="20"/>
              </w:rPr>
              <w:t>Friendly Settlement Agreement Report No.:</w:t>
            </w:r>
            <w:hyperlink r:id="rId14" w:history="1">
              <w:r w:rsidRPr="00BA2363">
                <w:rPr>
                  <w:rStyle w:val="Hyperlink"/>
                  <w:rFonts w:ascii="Cambria" w:hAnsi="Cambria"/>
                  <w:b/>
                  <w:color w:val="auto"/>
                  <w:sz w:val="20"/>
                  <w:szCs w:val="20"/>
                </w:rPr>
                <w:t xml:space="preserve"> 220/23 </w:t>
              </w:r>
            </w:hyperlink>
            <w:r w:rsidRPr="00BA2363">
              <w:rPr>
                <w:rFonts w:ascii="Cambria" w:hAnsi="Cambria"/>
                <w:sz w:val="20"/>
                <w:szCs w:val="20"/>
              </w:rPr>
              <w:t>publi</w:t>
            </w:r>
            <w:r w:rsidRPr="00BA2363">
              <w:rPr>
                <w:rFonts w:ascii="Cambria" w:hAnsi="Cambria"/>
                <w:color w:val="000000"/>
                <w:sz w:val="20"/>
                <w:szCs w:val="20"/>
              </w:rPr>
              <w:t>shed on October 22, 2023</w:t>
            </w:r>
          </w:p>
          <w:p w14:paraId="31FE13C1" w14:textId="77777777" w:rsidR="0012317E" w:rsidRPr="00BA2363" w:rsidRDefault="0012317E" w:rsidP="0012317E">
            <w:pPr>
              <w:pStyle w:val="NoSpacing"/>
              <w:tabs>
                <w:tab w:val="left" w:pos="9270"/>
              </w:tabs>
              <w:jc w:val="both"/>
              <w:rPr>
                <w:rFonts w:ascii="Cambria" w:hAnsi="Cambria"/>
                <w:bCs/>
                <w:color w:val="000000"/>
                <w:sz w:val="20"/>
                <w:szCs w:val="20"/>
              </w:rPr>
            </w:pPr>
            <w:r w:rsidRPr="00BA2363">
              <w:rPr>
                <w:rFonts w:ascii="Cambria" w:hAnsi="Cambria"/>
                <w:b/>
                <w:bCs/>
                <w:color w:val="000000"/>
                <w:sz w:val="20"/>
                <w:szCs w:val="20"/>
              </w:rPr>
              <w:t xml:space="preserve">Estimated length of the negotiation phase: </w:t>
            </w:r>
            <w:r w:rsidRPr="00BA2363">
              <w:rPr>
                <w:rFonts w:ascii="Cambria" w:hAnsi="Cambria"/>
                <w:color w:val="000000"/>
                <w:sz w:val="20"/>
                <w:szCs w:val="20"/>
              </w:rPr>
              <w:t>7 years and 4 months</w:t>
            </w:r>
          </w:p>
          <w:p w14:paraId="7B48B232" w14:textId="77777777" w:rsidR="0012317E" w:rsidRPr="00BA2363" w:rsidRDefault="0012317E" w:rsidP="0012317E">
            <w:pPr>
              <w:pStyle w:val="NoSpacing"/>
              <w:tabs>
                <w:tab w:val="left" w:pos="9270"/>
              </w:tabs>
              <w:jc w:val="both"/>
              <w:rPr>
                <w:rFonts w:ascii="Cambria" w:hAnsi="Cambria"/>
                <w:color w:val="000000"/>
                <w:sz w:val="20"/>
                <w:szCs w:val="20"/>
              </w:rPr>
            </w:pPr>
            <w:r w:rsidRPr="00BA2363">
              <w:rPr>
                <w:rFonts w:ascii="Cambria" w:hAnsi="Cambria"/>
                <w:b/>
                <w:color w:val="000000"/>
                <w:sz w:val="20"/>
                <w:szCs w:val="20"/>
              </w:rPr>
              <w:t>Related Rapporteurship:</w:t>
            </w:r>
            <w:r w:rsidRPr="00BA2363">
              <w:rPr>
                <w:rFonts w:ascii="Cambria" w:hAnsi="Cambria"/>
                <w:color w:val="000000"/>
                <w:sz w:val="20"/>
                <w:szCs w:val="20"/>
              </w:rPr>
              <w:t xml:space="preserve"> Rights of Persons Deprived of Liberty</w:t>
            </w:r>
          </w:p>
          <w:p w14:paraId="2EE91543" w14:textId="77777777" w:rsidR="0012317E" w:rsidRPr="00BA2363" w:rsidRDefault="0012317E" w:rsidP="0012317E">
            <w:pPr>
              <w:pStyle w:val="NoSpacing"/>
              <w:tabs>
                <w:tab w:val="left" w:pos="9270"/>
              </w:tabs>
              <w:jc w:val="both"/>
              <w:rPr>
                <w:rFonts w:ascii="Cambria" w:hAnsi="Cambria"/>
                <w:bCs/>
                <w:color w:val="000000"/>
                <w:sz w:val="20"/>
                <w:szCs w:val="20"/>
              </w:rPr>
            </w:pPr>
            <w:r w:rsidRPr="00BA2363">
              <w:rPr>
                <w:rFonts w:ascii="Cambria" w:hAnsi="Cambria"/>
                <w:b/>
                <w:color w:val="000000"/>
                <w:sz w:val="20"/>
                <w:szCs w:val="20"/>
              </w:rPr>
              <w:t xml:space="preserve">Topics: </w:t>
            </w:r>
            <w:r w:rsidRPr="00BA2363">
              <w:rPr>
                <w:rFonts w:ascii="Cambria" w:hAnsi="Cambria"/>
                <w:bCs/>
                <w:color w:val="000000"/>
                <w:sz w:val="20"/>
                <w:szCs w:val="20"/>
              </w:rPr>
              <w:t xml:space="preserve"> Right to Personal Liberty/ Right to a Fair Trial/</w:t>
            </w:r>
            <w:r w:rsidRPr="00BA2363">
              <w:rPr>
                <w:rFonts w:ascii="Cambria" w:hAnsi="Cambria"/>
                <w:bCs/>
                <w:sz w:val="20"/>
                <w:szCs w:val="20"/>
              </w:rPr>
              <w:t xml:space="preserve"> </w:t>
            </w:r>
            <w:r w:rsidRPr="00BA2363">
              <w:rPr>
                <w:rFonts w:ascii="Cambria" w:hAnsi="Cambria"/>
                <w:bCs/>
                <w:color w:val="000000"/>
                <w:sz w:val="20"/>
                <w:szCs w:val="20"/>
              </w:rPr>
              <w:t>Right to Equal Protection/</w:t>
            </w:r>
            <w:r w:rsidRPr="00BA2363">
              <w:rPr>
                <w:rFonts w:ascii="Cambria" w:hAnsi="Cambria"/>
                <w:sz w:val="20"/>
                <w:szCs w:val="20"/>
              </w:rPr>
              <w:t xml:space="preserve"> </w:t>
            </w:r>
            <w:r w:rsidRPr="00BA2363">
              <w:rPr>
                <w:rFonts w:ascii="Cambria" w:hAnsi="Cambria"/>
                <w:bCs/>
                <w:color w:val="000000"/>
                <w:sz w:val="20"/>
                <w:szCs w:val="20"/>
              </w:rPr>
              <w:t>Right to Participate in Government/ Judicial Protection</w:t>
            </w:r>
          </w:p>
          <w:p w14:paraId="3EE170CC" w14:textId="77777777" w:rsidR="0012317E" w:rsidRPr="00BA2363" w:rsidRDefault="0012317E" w:rsidP="0012317E">
            <w:pPr>
              <w:pStyle w:val="NoSpacing"/>
              <w:tabs>
                <w:tab w:val="left" w:pos="9270"/>
              </w:tabs>
              <w:jc w:val="both"/>
              <w:rPr>
                <w:rFonts w:ascii="Cambria" w:hAnsi="Cambria"/>
                <w:bCs/>
                <w:color w:val="000000"/>
                <w:sz w:val="20"/>
                <w:szCs w:val="20"/>
              </w:rPr>
            </w:pPr>
          </w:p>
          <w:p w14:paraId="4CBA91BB" w14:textId="5DA945EF" w:rsidR="0012317E" w:rsidRPr="00BA2363" w:rsidRDefault="0012317E" w:rsidP="0012317E">
            <w:pPr>
              <w:tabs>
                <w:tab w:val="center" w:pos="720"/>
              </w:tabs>
              <w:spacing w:line="240" w:lineRule="auto"/>
              <w:jc w:val="both"/>
              <w:rPr>
                <w:rFonts w:ascii="Cambria" w:hAnsi="Cambria"/>
                <w:bCs/>
                <w:color w:val="000000"/>
                <w:sz w:val="20"/>
                <w:szCs w:val="20"/>
              </w:rPr>
            </w:pPr>
            <w:r w:rsidRPr="00BA2363">
              <w:rPr>
                <w:rFonts w:ascii="Cambria" w:hAnsi="Cambria"/>
                <w:b/>
                <w:color w:val="000000"/>
                <w:sz w:val="20"/>
                <w:szCs w:val="20"/>
              </w:rPr>
              <w:t xml:space="preserve">Facts: </w:t>
            </w:r>
            <w:r w:rsidRPr="00BA2363">
              <w:rPr>
                <w:rFonts w:ascii="Cambria" w:hAnsi="Cambria"/>
                <w:bCs/>
                <w:color w:val="000000"/>
                <w:sz w:val="20"/>
                <w:szCs w:val="20"/>
              </w:rPr>
              <w:t>The petitioners argued that Mr. Carlos Andrés Fraticelli and his former wife, María Graciela Diesser, were unjustly declared liable for the death of their daughter Natalia Fraticelli, 15 years of age, in the province of Santa Fe; she was found deceased in her room on May 20, 2000. According to the petitioners, since the beginning of the investigations the analysis of the case was characterized both by the influence of public opinion and by the pre-judging of the matter by the judges in charge. The petitioners alleged that, as a result of the judicial process for the death of his daughter, Mr. Fraticelli was arbitrarily removed from his position as magistrate, through a process in which his judicial guarantees and judicial protection were violated.</w:t>
            </w:r>
          </w:p>
          <w:p w14:paraId="38FCE193" w14:textId="2C758E59" w:rsidR="006F75AC" w:rsidRPr="00BA2363" w:rsidRDefault="0012317E" w:rsidP="0012317E">
            <w:pPr>
              <w:tabs>
                <w:tab w:val="left" w:pos="9270"/>
              </w:tabs>
              <w:spacing w:after="0" w:line="240" w:lineRule="auto"/>
              <w:jc w:val="both"/>
              <w:rPr>
                <w:rFonts w:ascii="Cambria" w:eastAsia="Batang" w:hAnsi="Cambria"/>
                <w:color w:val="000000"/>
                <w:sz w:val="20"/>
                <w:szCs w:val="20"/>
              </w:rPr>
            </w:pPr>
            <w:r w:rsidRPr="00BA2363">
              <w:rPr>
                <w:rFonts w:ascii="Cambria" w:hAnsi="Cambria"/>
                <w:b/>
                <w:color w:val="000000"/>
                <w:sz w:val="20"/>
                <w:szCs w:val="20"/>
              </w:rPr>
              <w:t>Rights declared admissible:</w:t>
            </w:r>
            <w:r w:rsidRPr="00BA2363">
              <w:rPr>
                <w:rFonts w:ascii="Cambria" w:hAnsi="Cambria"/>
                <w:color w:val="000000"/>
                <w:sz w:val="20"/>
                <w:szCs w:val="20"/>
              </w:rPr>
              <w:t xml:space="preserve"> On April 14, 2016, the Commission issued Admissibility Report No. 10/16, in which it declared the petition admissible as well as its competence to hear the claim presented by the petitioners with respect to the alleged violation of the rights enshrined in Articles 7 (personal liberty), 8 (fair trial), 23 (right to participate in government), 24 (equality before the law) and 25 (judicial protection) of the American Convention in connection with the obligation established in Articles 1.1 and 2 thereof.</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4C466689" w14:textId="67F8A4DC" w:rsidR="001541D4" w:rsidRPr="00684FB4" w:rsidRDefault="001541D4" w:rsidP="00684FB4">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1541D4">
      <w:pPr>
        <w:spacing w:after="0" w:line="240" w:lineRule="auto"/>
        <w:ind w:firstLine="709"/>
        <w:contextualSpacing/>
        <w:jc w:val="both"/>
        <w:rPr>
          <w:rFonts w:ascii="Cambria" w:eastAsia="Batang" w:hAnsi="Cambria" w:cs="Calibri Light"/>
          <w:color w:val="000000"/>
        </w:rPr>
      </w:pPr>
    </w:p>
    <w:p w14:paraId="2B76C165" w14:textId="3AEB6C43" w:rsidR="00290E09" w:rsidRPr="00BA2363" w:rsidRDefault="00684FB4" w:rsidP="0098379B">
      <w:pPr>
        <w:pStyle w:val="ListParagraph"/>
        <w:numPr>
          <w:ilvl w:val="0"/>
          <w:numId w:val="4"/>
        </w:numPr>
        <w:spacing w:after="0" w:line="240" w:lineRule="auto"/>
        <w:ind w:left="0" w:firstLine="720"/>
        <w:jc w:val="both"/>
        <w:rPr>
          <w:rFonts w:ascii="Cambria" w:hAnsi="Cambria"/>
          <w:sz w:val="20"/>
          <w:szCs w:val="20"/>
        </w:rPr>
      </w:pPr>
      <w:r w:rsidRPr="00BA2363">
        <w:rPr>
          <w:rFonts w:ascii="Cambria" w:hAnsi="Cambria"/>
          <w:sz w:val="20"/>
          <w:szCs w:val="20"/>
        </w:rPr>
        <w:t>On August 29, 2023, the parties signed a friendly settlement agreement.</w:t>
      </w:r>
    </w:p>
    <w:p w14:paraId="35805236" w14:textId="77777777" w:rsidR="00290E09" w:rsidRPr="00BA2363" w:rsidRDefault="00BE3089" w:rsidP="00BA2363">
      <w:pPr>
        <w:pStyle w:val="ListParagraph"/>
        <w:spacing w:line="240" w:lineRule="auto"/>
        <w:rPr>
          <w:rFonts w:ascii="Cambria" w:hAnsi="Cambria"/>
          <w:sz w:val="20"/>
          <w:szCs w:val="20"/>
        </w:rPr>
      </w:pPr>
      <w:r w:rsidRPr="00BA2363">
        <w:rPr>
          <w:rFonts w:ascii="Cambria" w:hAnsi="Cambria"/>
          <w:sz w:val="20"/>
          <w:szCs w:val="20"/>
        </w:rPr>
        <w:t xml:space="preserve"> </w:t>
      </w:r>
    </w:p>
    <w:p w14:paraId="41E7ACB7" w14:textId="323169F1" w:rsidR="00290E09" w:rsidRPr="00BA2363" w:rsidRDefault="00BE3089" w:rsidP="00BA2363">
      <w:pPr>
        <w:pStyle w:val="ListParagraph"/>
        <w:numPr>
          <w:ilvl w:val="0"/>
          <w:numId w:val="4"/>
        </w:numPr>
        <w:spacing w:line="240" w:lineRule="auto"/>
        <w:ind w:left="0" w:firstLine="720"/>
        <w:jc w:val="both"/>
        <w:rPr>
          <w:rFonts w:ascii="Cambria" w:hAnsi="Cambria"/>
        </w:rPr>
      </w:pPr>
      <w:r w:rsidRPr="00BA2363">
        <w:rPr>
          <w:rFonts w:ascii="Cambria" w:hAnsi="Cambria"/>
          <w:sz w:val="20"/>
          <w:szCs w:val="20"/>
        </w:rPr>
        <w:t>On October 22, 2023, the IACHR published Report No. 220/23, approving the friendly settlement agreement and accounting for its full compliance, and consequently decided to cease its supervision and close the case.</w:t>
      </w:r>
    </w:p>
    <w:p w14:paraId="1FEB4A7B" w14:textId="77777777" w:rsidR="001541D4" w:rsidRDefault="001541D4" w:rsidP="00290E09">
      <w:pPr>
        <w:spacing w:after="0" w:line="240" w:lineRule="auto"/>
        <w:jc w:val="both"/>
        <w:rPr>
          <w:rFonts w:ascii="Cambria" w:hAnsi="Cambria"/>
        </w:rPr>
      </w:pPr>
    </w:p>
    <w:p w14:paraId="6AB2E946" w14:textId="77777777" w:rsidR="009500A7" w:rsidRDefault="009500A7" w:rsidP="00290E09">
      <w:pPr>
        <w:spacing w:after="0" w:line="240" w:lineRule="auto"/>
        <w:jc w:val="both"/>
        <w:rPr>
          <w:rFonts w:ascii="Cambria" w:hAnsi="Cambria"/>
        </w:rPr>
      </w:pPr>
    </w:p>
    <w:p w14:paraId="7447870E" w14:textId="77777777" w:rsidR="009500A7" w:rsidRDefault="009500A7" w:rsidP="00290E09">
      <w:pPr>
        <w:spacing w:after="0" w:line="240" w:lineRule="auto"/>
        <w:jc w:val="both"/>
        <w:rPr>
          <w:rFonts w:ascii="Cambria" w:hAnsi="Cambria"/>
        </w:rPr>
      </w:pPr>
    </w:p>
    <w:p w14:paraId="70E9B595" w14:textId="77777777" w:rsidR="009500A7" w:rsidRDefault="009500A7" w:rsidP="00290E09">
      <w:pPr>
        <w:spacing w:after="0" w:line="240" w:lineRule="auto"/>
        <w:jc w:val="both"/>
        <w:rPr>
          <w:rFonts w:ascii="Cambria" w:hAnsi="Cambria"/>
        </w:rPr>
      </w:pPr>
    </w:p>
    <w:p w14:paraId="11CD76DE" w14:textId="77777777" w:rsidR="009500A7" w:rsidRDefault="009500A7" w:rsidP="00290E09">
      <w:pPr>
        <w:spacing w:after="0" w:line="240" w:lineRule="auto"/>
        <w:jc w:val="both"/>
        <w:rPr>
          <w:rFonts w:ascii="Cambria" w:hAnsi="Cambria"/>
        </w:rPr>
      </w:pPr>
    </w:p>
    <w:p w14:paraId="7EE63A39" w14:textId="77777777" w:rsidR="009500A7" w:rsidRPr="00BA2363" w:rsidRDefault="009500A7" w:rsidP="00BA2363">
      <w:pPr>
        <w:spacing w:after="0" w:line="240" w:lineRule="auto"/>
        <w:jc w:val="both"/>
        <w:rPr>
          <w:rFonts w:ascii="Cambria" w:hAnsi="Cambria"/>
        </w:r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FF3DDD"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BA2363" w:rsidRDefault="003E6F57" w:rsidP="00F024F0">
            <w:pPr>
              <w:tabs>
                <w:tab w:val="center" w:pos="2049"/>
              </w:tabs>
              <w:spacing w:after="0" w:line="240" w:lineRule="auto"/>
              <w:jc w:val="center"/>
              <w:rPr>
                <w:rFonts w:ascii="Cambria" w:eastAsia="Batang" w:hAnsi="Cambria"/>
                <w:b/>
                <w:color w:val="000000"/>
                <w:sz w:val="20"/>
                <w:szCs w:val="20"/>
              </w:rPr>
            </w:pPr>
            <w:r w:rsidRPr="00BA2363">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BA2363" w:rsidRDefault="003E6F57" w:rsidP="00F024F0">
            <w:pPr>
              <w:spacing w:after="0" w:line="240" w:lineRule="auto"/>
              <w:jc w:val="center"/>
              <w:rPr>
                <w:rFonts w:ascii="Cambria" w:eastAsia="Batang" w:hAnsi="Cambria"/>
                <w:b/>
                <w:color w:val="000000"/>
                <w:sz w:val="20"/>
                <w:szCs w:val="20"/>
              </w:rPr>
            </w:pPr>
            <w:r w:rsidRPr="00BA2363">
              <w:rPr>
                <w:rFonts w:ascii="Cambria" w:eastAsia="Batang" w:hAnsi="Cambria"/>
                <w:b/>
                <w:color w:val="000000"/>
                <w:sz w:val="20"/>
                <w:szCs w:val="20"/>
              </w:rPr>
              <w:t xml:space="preserve">Status of Implementation </w:t>
            </w:r>
          </w:p>
        </w:tc>
      </w:tr>
      <w:tr w:rsidR="00A7029B" w:rsidRPr="00FF3DDD" w14:paraId="05E01043" w14:textId="77777777" w:rsidTr="00CC1362">
        <w:trPr>
          <w:trHeight w:val="221"/>
          <w:jc w:val="center"/>
        </w:trPr>
        <w:tc>
          <w:tcPr>
            <w:tcW w:w="7371" w:type="dxa"/>
            <w:tcBorders>
              <w:top w:val="single" w:sz="4" w:space="0" w:color="auto"/>
              <w:left w:val="single" w:sz="4" w:space="0" w:color="auto"/>
              <w:bottom w:val="single" w:sz="4" w:space="0" w:color="auto"/>
              <w:right w:val="single" w:sz="4" w:space="0" w:color="auto"/>
            </w:tcBorders>
          </w:tcPr>
          <w:p w14:paraId="5AE7E64F" w14:textId="77777777" w:rsidR="00A7029B" w:rsidRPr="00BA2363" w:rsidRDefault="00A7029B" w:rsidP="00A7029B">
            <w:pPr>
              <w:pStyle w:val="ListParagraph"/>
              <w:numPr>
                <w:ilvl w:val="0"/>
                <w:numId w:val="40"/>
              </w:numPr>
              <w:spacing w:after="0" w:line="240" w:lineRule="auto"/>
              <w:ind w:left="0" w:firstLine="46"/>
              <w:jc w:val="both"/>
              <w:rPr>
                <w:rFonts w:ascii="Cambria" w:hAnsi="Cambria"/>
                <w:b/>
                <w:bCs/>
                <w:color w:val="000000"/>
                <w:sz w:val="20"/>
                <w:szCs w:val="20"/>
              </w:rPr>
            </w:pPr>
            <w:r w:rsidRPr="00BA2363">
              <w:rPr>
                <w:rFonts w:ascii="Cambria" w:hAnsi="Cambria"/>
                <w:b/>
                <w:bCs/>
                <w:color w:val="000000"/>
                <w:sz w:val="20"/>
                <w:szCs w:val="20"/>
              </w:rPr>
              <w:t>The friendly settlement process between the petitioner and the Government of the Province of Santa Fe.</w:t>
            </w:r>
          </w:p>
          <w:p w14:paraId="0D7B5878" w14:textId="77777777" w:rsidR="00A7029B" w:rsidRPr="00BA2363" w:rsidRDefault="00A7029B" w:rsidP="00A7029B">
            <w:pPr>
              <w:spacing w:line="240" w:lineRule="auto"/>
              <w:jc w:val="both"/>
              <w:rPr>
                <w:rFonts w:ascii="Cambria" w:hAnsi="Cambria"/>
                <w:color w:val="000000"/>
                <w:sz w:val="20"/>
                <w:szCs w:val="20"/>
              </w:rPr>
            </w:pPr>
            <w:r w:rsidRPr="00BA2363">
              <w:rPr>
                <w:rFonts w:ascii="Cambria" w:hAnsi="Cambria"/>
                <w:color w:val="000000"/>
                <w:sz w:val="20"/>
                <w:szCs w:val="20"/>
              </w:rPr>
              <w:t xml:space="preserve">A. As duly communicated to the Illustrious Inter-American Commission on Human Rights, the petitioning party and the provincial authorities opened a space for dialogue aimed at exploring a friendly solution to the matter.   </w:t>
            </w:r>
          </w:p>
          <w:p w14:paraId="4FFD990F" w14:textId="2CB9FE0C" w:rsidR="00A7029B" w:rsidRPr="00BA2363" w:rsidRDefault="00A7029B" w:rsidP="00A7029B">
            <w:pPr>
              <w:spacing w:line="240" w:lineRule="auto"/>
              <w:jc w:val="both"/>
              <w:rPr>
                <w:rFonts w:ascii="Cambria" w:hAnsi="Cambria"/>
                <w:color w:val="000000"/>
                <w:sz w:val="20"/>
                <w:szCs w:val="20"/>
              </w:rPr>
            </w:pPr>
            <w:r w:rsidRPr="00BA2363">
              <w:rPr>
                <w:rFonts w:ascii="Cambria" w:hAnsi="Cambria"/>
                <w:color w:val="000000"/>
                <w:sz w:val="20"/>
                <w:szCs w:val="20"/>
              </w:rPr>
              <w:t xml:space="preserve">B. In that scope, the Province of Santa Fe and the petitioning party reached a definitive understanding based on the provisions of Decree No. 2133 of August 20, 2016. In this regard, the </w:t>
            </w:r>
            <w:r w:rsidR="009500A7" w:rsidRPr="00BA2363">
              <w:rPr>
                <w:rFonts w:ascii="Cambria" w:hAnsi="Cambria"/>
                <w:color w:val="000000"/>
                <w:sz w:val="20"/>
                <w:szCs w:val="20"/>
              </w:rPr>
              <w:t>province</w:t>
            </w:r>
            <w:r w:rsidRPr="00BA2363">
              <w:rPr>
                <w:rFonts w:ascii="Cambria" w:hAnsi="Cambria"/>
                <w:color w:val="000000"/>
                <w:sz w:val="20"/>
                <w:szCs w:val="20"/>
              </w:rPr>
              <w:t xml:space="preserve"> and the petitioning party signed an agreement dated September 7, 2016</w:t>
            </w:r>
            <w:r w:rsidR="009500A7" w:rsidRPr="00BA2363">
              <w:rPr>
                <w:rFonts w:ascii="Cambria" w:hAnsi="Cambria"/>
                <w:color w:val="000000"/>
                <w:sz w:val="20"/>
                <w:szCs w:val="20"/>
              </w:rPr>
              <w:t>,</w:t>
            </w:r>
            <w:r w:rsidRPr="00BA2363">
              <w:rPr>
                <w:rFonts w:ascii="Cambria" w:hAnsi="Cambria"/>
                <w:color w:val="000000"/>
                <w:sz w:val="20"/>
                <w:szCs w:val="20"/>
              </w:rPr>
              <w:t xml:space="preserve"> within the context of FILE NUMBER: OO115-0006560-4 of the Ministry of Government and State Reform of the Province of Santa Fe.  </w:t>
            </w:r>
          </w:p>
          <w:p w14:paraId="30F40E5F" w14:textId="7653CE60" w:rsidR="00A7029B" w:rsidRPr="00BA2363" w:rsidRDefault="00A7029B" w:rsidP="00A7029B">
            <w:pPr>
              <w:spacing w:after="0" w:line="240" w:lineRule="auto"/>
              <w:jc w:val="both"/>
              <w:rPr>
                <w:rFonts w:ascii="Cambria" w:eastAsia="MS Mincho" w:hAnsi="Cambria"/>
                <w:b/>
                <w:sz w:val="20"/>
                <w:szCs w:val="20"/>
                <w:lang w:eastAsia="es-ES_tradnl"/>
              </w:rPr>
            </w:pPr>
            <w:r w:rsidRPr="00BA2363">
              <w:rPr>
                <w:rFonts w:ascii="Cambria" w:hAnsi="Cambria"/>
                <w:color w:val="000000"/>
                <w:sz w:val="20"/>
                <w:szCs w:val="20"/>
              </w:rPr>
              <w:t xml:space="preserve">C. In said document, all current and/or future conflicts are deemed to be resolved, through the total and absolute waiver of any current and/or future claim, national or international, </w:t>
            </w:r>
            <w:r w:rsidR="009500A7" w:rsidRPr="00BA2363">
              <w:rPr>
                <w:rFonts w:ascii="Cambria" w:hAnsi="Cambria"/>
                <w:color w:val="000000"/>
                <w:sz w:val="20"/>
                <w:szCs w:val="20"/>
              </w:rPr>
              <w:t>administrative,</w:t>
            </w:r>
            <w:r w:rsidRPr="00BA2363">
              <w:rPr>
                <w:rFonts w:ascii="Cambria" w:hAnsi="Cambria"/>
                <w:color w:val="000000"/>
                <w:sz w:val="20"/>
                <w:szCs w:val="20"/>
              </w:rPr>
              <w:t xml:space="preserve"> or judicial, arising from its exercise in the provincial sphere, in accordance with the petitioner's own wishes, especially with respect to Case No. 13,020 of the Inter-American Commission on Human Rights (fs. 125 to 126).</w:t>
            </w:r>
            <w:r w:rsidR="00E71ADF" w:rsidRPr="00BA2363">
              <w:rPr>
                <w:rFonts w:ascii="Cambria" w:hAnsi="Cambria"/>
                <w:color w:val="000000"/>
                <w:sz w:val="20"/>
                <w:szCs w:val="20"/>
              </w:rPr>
              <w:t xml:space="preserve"> </w:t>
            </w:r>
            <w:r w:rsidR="00E71ADF" w:rsidRPr="00BA2363">
              <w:rPr>
                <w:rFonts w:ascii="Cambria" w:eastAsia="Batang" w:hAnsi="Cambria" w:cs="Calibri"/>
                <w:color w:val="000000"/>
                <w:sz w:val="20"/>
                <w:szCs w:val="20"/>
                <w:lang w:val="es-ES_tradnl"/>
              </w:rPr>
              <w:t>[…]</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1DFFB031" w:rsidR="00A7029B" w:rsidRPr="00BA2363" w:rsidRDefault="00A7029B" w:rsidP="00A7029B">
            <w:pPr>
              <w:spacing w:after="0" w:line="240" w:lineRule="auto"/>
              <w:jc w:val="center"/>
              <w:rPr>
                <w:rFonts w:ascii="Cambria" w:hAnsi="Cambria"/>
                <w:b/>
                <w:sz w:val="20"/>
                <w:szCs w:val="20"/>
              </w:rPr>
            </w:pPr>
            <w:r w:rsidRPr="00BA2363">
              <w:rPr>
                <w:rFonts w:ascii="Cambria" w:eastAsia="Batang" w:hAnsi="Cambria"/>
                <w:b/>
                <w:color w:val="000000"/>
                <w:sz w:val="20"/>
                <w:szCs w:val="20"/>
                <w:lang w:eastAsia="es-ES_tradnl"/>
              </w:rPr>
              <w:t>Total</w:t>
            </w:r>
            <w:r w:rsidR="00840259" w:rsidRPr="00BA2363">
              <w:rPr>
                <w:rStyle w:val="FootnoteReference"/>
                <w:rFonts w:ascii="Cambria" w:hAnsi="Cambria"/>
                <w:b/>
                <w:sz w:val="20"/>
                <w:szCs w:val="20"/>
              </w:rPr>
              <w:footnoteReference w:id="1"/>
            </w:r>
          </w:p>
        </w:tc>
      </w:tr>
      <w:tr w:rsidR="00991934" w:rsidRPr="00FF3DDD" w14:paraId="7F808FFC" w14:textId="77777777" w:rsidTr="00991934">
        <w:trPr>
          <w:trHeight w:val="289"/>
          <w:jc w:val="center"/>
        </w:trPr>
        <w:tc>
          <w:tcPr>
            <w:tcW w:w="7371" w:type="dxa"/>
            <w:tcBorders>
              <w:top w:val="single" w:sz="4" w:space="0" w:color="auto"/>
              <w:left w:val="single" w:sz="4" w:space="0" w:color="auto"/>
              <w:bottom w:val="single" w:sz="4" w:space="0" w:color="auto"/>
              <w:right w:val="single" w:sz="4" w:space="0" w:color="auto"/>
            </w:tcBorders>
          </w:tcPr>
          <w:p w14:paraId="7B9092C7" w14:textId="576C5B84" w:rsidR="00991934" w:rsidRPr="00BA2363" w:rsidRDefault="00991934" w:rsidP="00A7029B">
            <w:pPr>
              <w:spacing w:after="0" w:line="240" w:lineRule="auto"/>
              <w:jc w:val="both"/>
              <w:rPr>
                <w:rFonts w:ascii="Cambria" w:eastAsia="Batang" w:hAnsi="Cambria"/>
                <w:bCs/>
                <w:color w:val="080808"/>
                <w:sz w:val="20"/>
                <w:szCs w:val="20"/>
                <w:lang w:val="es-CO"/>
              </w:rPr>
            </w:pPr>
            <w:r w:rsidRPr="00BA2363">
              <w:rPr>
                <w:rFonts w:ascii="Cambria" w:hAnsi="Cambria"/>
                <w:b/>
                <w:bCs/>
                <w:color w:val="000000"/>
                <w:sz w:val="20"/>
                <w:szCs w:val="20"/>
              </w:rPr>
              <w:t>II. Friendly settlement Agreement</w:t>
            </w:r>
          </w:p>
        </w:tc>
        <w:tc>
          <w:tcPr>
            <w:tcW w:w="1985" w:type="dxa"/>
            <w:tcBorders>
              <w:top w:val="single" w:sz="4" w:space="0" w:color="auto"/>
              <w:left w:val="single" w:sz="4" w:space="0" w:color="auto"/>
              <w:bottom w:val="single" w:sz="4" w:space="0" w:color="auto"/>
              <w:right w:val="single" w:sz="4" w:space="0" w:color="auto"/>
            </w:tcBorders>
            <w:vAlign w:val="center"/>
          </w:tcPr>
          <w:p w14:paraId="745BC424" w14:textId="77777777" w:rsidR="00991934" w:rsidRPr="00BA2363" w:rsidRDefault="00991934" w:rsidP="00A7029B">
            <w:pPr>
              <w:spacing w:after="0" w:line="240" w:lineRule="auto"/>
              <w:jc w:val="center"/>
              <w:rPr>
                <w:rFonts w:ascii="Cambria" w:eastAsia="Batang" w:hAnsi="Cambria"/>
                <w:b/>
                <w:bCs/>
                <w:color w:val="000000"/>
                <w:sz w:val="20"/>
                <w:szCs w:val="20"/>
                <w:lang w:eastAsia="es-ES_tradnl"/>
              </w:rPr>
            </w:pPr>
          </w:p>
        </w:tc>
      </w:tr>
      <w:tr w:rsidR="00991934" w:rsidRPr="00FF3DDD"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5046C261" w14:textId="77777777" w:rsidR="00991934" w:rsidRPr="00BA2363" w:rsidRDefault="00991934" w:rsidP="00991934">
            <w:pPr>
              <w:pStyle w:val="ListParagraph"/>
              <w:numPr>
                <w:ilvl w:val="0"/>
                <w:numId w:val="41"/>
              </w:numPr>
              <w:spacing w:after="0" w:line="240" w:lineRule="auto"/>
              <w:ind w:left="0" w:firstLine="0"/>
              <w:jc w:val="both"/>
              <w:rPr>
                <w:rFonts w:ascii="Cambria" w:hAnsi="Cambria"/>
                <w:color w:val="000000"/>
                <w:sz w:val="20"/>
                <w:szCs w:val="20"/>
              </w:rPr>
            </w:pPr>
            <w:r w:rsidRPr="00BA2363">
              <w:rPr>
                <w:rFonts w:ascii="Cambria" w:hAnsi="Cambria"/>
                <w:color w:val="000000"/>
                <w:sz w:val="20"/>
                <w:szCs w:val="20"/>
              </w:rPr>
              <w:t>The petitioner states that the measures agreed upon with the Government of the Province of Santa Fe have been fully complied with and, consequently, it is appropriate to sign the final agreement between the petitioners and the Argentine State.</w:t>
            </w:r>
          </w:p>
          <w:p w14:paraId="4DE29DF2" w14:textId="459BF654" w:rsidR="00991934" w:rsidRPr="00BA2363" w:rsidRDefault="00991934" w:rsidP="00991934">
            <w:pPr>
              <w:spacing w:after="0" w:line="240" w:lineRule="auto"/>
              <w:ind w:right="72"/>
              <w:jc w:val="both"/>
              <w:rPr>
                <w:rFonts w:ascii="Cambria" w:hAnsi="Cambria"/>
                <w:bCs/>
                <w:color w:val="000000"/>
                <w:kern w:val="36"/>
                <w:sz w:val="20"/>
                <w:szCs w:val="20"/>
              </w:rPr>
            </w:pPr>
            <w:r w:rsidRPr="00BA2363">
              <w:rPr>
                <w:rFonts w:ascii="Cambria" w:hAnsi="Cambria"/>
                <w:color w:val="000000"/>
                <w:sz w:val="20"/>
                <w:szCs w:val="20"/>
              </w:rPr>
              <w:t>B. Likewise, the Petitioner declares to definitely and irrevocably waive any other claim of any nature with the Argentine State in relation to the present case.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77777777" w:rsidR="00991934" w:rsidRPr="00BA2363" w:rsidRDefault="00991934" w:rsidP="00991934">
            <w:pPr>
              <w:spacing w:after="0" w:line="240" w:lineRule="auto"/>
              <w:jc w:val="center"/>
              <w:rPr>
                <w:rFonts w:ascii="Cambria" w:eastAsia="Batang" w:hAnsi="Cambria"/>
                <w:b/>
                <w:bCs/>
                <w:color w:val="000000"/>
                <w:sz w:val="20"/>
                <w:szCs w:val="20"/>
              </w:rPr>
            </w:pPr>
            <w:r w:rsidRPr="00BA2363">
              <w:rPr>
                <w:rFonts w:ascii="Cambria" w:eastAsia="Batang" w:hAnsi="Cambria"/>
                <w:b/>
                <w:bCs/>
                <w:color w:val="000000"/>
                <w:sz w:val="20"/>
                <w:szCs w:val="20"/>
                <w:lang w:eastAsia="es-ES_tradnl"/>
              </w:rPr>
              <w:t xml:space="preserve">Declarative clause </w:t>
            </w:r>
          </w:p>
        </w:tc>
      </w:tr>
      <w:tr w:rsidR="00991934" w:rsidRPr="00FF3DDD" w14:paraId="0C4AA553" w14:textId="77777777" w:rsidTr="00991934">
        <w:trPr>
          <w:trHeight w:val="291"/>
          <w:jc w:val="center"/>
        </w:trPr>
        <w:tc>
          <w:tcPr>
            <w:tcW w:w="7371" w:type="dxa"/>
            <w:tcBorders>
              <w:top w:val="single" w:sz="4" w:space="0" w:color="auto"/>
              <w:left w:val="single" w:sz="4" w:space="0" w:color="auto"/>
              <w:bottom w:val="single" w:sz="4" w:space="0" w:color="auto"/>
              <w:right w:val="single" w:sz="4" w:space="0" w:color="auto"/>
            </w:tcBorders>
            <w:vAlign w:val="center"/>
          </w:tcPr>
          <w:p w14:paraId="0E34A83C" w14:textId="59F800AC" w:rsidR="00991934" w:rsidRPr="00BA2363" w:rsidRDefault="00991934" w:rsidP="00991934">
            <w:pPr>
              <w:spacing w:after="0" w:line="240" w:lineRule="auto"/>
              <w:ind w:right="72"/>
              <w:jc w:val="both"/>
              <w:rPr>
                <w:rFonts w:ascii="Cambria" w:eastAsia="Times New Roman" w:hAnsi="Cambria"/>
                <w:bCs/>
                <w:sz w:val="20"/>
                <w:szCs w:val="20"/>
              </w:rPr>
            </w:pPr>
            <w:r w:rsidRPr="00BA2363">
              <w:rPr>
                <w:rFonts w:ascii="Cambria" w:hAnsi="Cambria"/>
                <w:b/>
                <w:bCs/>
                <w:color w:val="000000"/>
                <w:sz w:val="20"/>
                <w:szCs w:val="20"/>
              </w:rPr>
              <w:t>III. Petition</w:t>
            </w:r>
            <w:r w:rsidRPr="00BA2363">
              <w:rPr>
                <w:rFonts w:ascii="Cambria" w:eastAsia="Times New Roman" w:hAnsi="Cambria"/>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049782B0" w:rsidR="00991934" w:rsidRPr="00BA2363" w:rsidRDefault="00991934" w:rsidP="00991934">
            <w:pPr>
              <w:spacing w:after="0" w:line="240" w:lineRule="auto"/>
              <w:jc w:val="center"/>
              <w:rPr>
                <w:rFonts w:ascii="Cambria" w:hAnsi="Cambria"/>
                <w:b/>
                <w:color w:val="000000"/>
                <w:sz w:val="20"/>
                <w:szCs w:val="20"/>
              </w:rPr>
            </w:pPr>
            <w:r w:rsidRPr="00BA2363">
              <w:rPr>
                <w:rFonts w:ascii="Cambria" w:eastAsia="Batang" w:hAnsi="Cambria"/>
                <w:b/>
                <w:bCs/>
                <w:color w:val="000000"/>
                <w:sz w:val="20"/>
                <w:szCs w:val="20"/>
                <w:lang w:eastAsia="es-ES_tradnl"/>
              </w:rPr>
              <w:t>Declarative clause</w:t>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Pr="007175E2"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4A6D9D7C" w14:textId="77777777" w:rsidR="003E6F57" w:rsidRPr="007175E2"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rPr>
      </w:pPr>
    </w:p>
    <w:p w14:paraId="6A3F6F0B" w14:textId="03BC912E" w:rsidR="003E6F57" w:rsidRPr="00BA2363" w:rsidRDefault="003E6F57" w:rsidP="00DC0DFA">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80808"/>
          <w:sz w:val="20"/>
          <w:szCs w:val="20"/>
        </w:rPr>
      </w:pPr>
      <w:r w:rsidRPr="00BA2363">
        <w:rPr>
          <w:rFonts w:ascii="Cambria" w:hAnsi="Cambria"/>
          <w:color w:val="080808"/>
          <w:sz w:val="20"/>
          <w:szCs w:val="20"/>
        </w:rPr>
        <w:t>The Commission declared full compliance with the case and the ceasing of the follow-up of the friendly settlement agreement in the 202</w:t>
      </w:r>
      <w:r w:rsidR="006F75AC" w:rsidRPr="00BA2363">
        <w:rPr>
          <w:rFonts w:ascii="Cambria" w:hAnsi="Cambria"/>
          <w:color w:val="080808"/>
          <w:sz w:val="20"/>
          <w:szCs w:val="20"/>
        </w:rPr>
        <w:t>3</w:t>
      </w:r>
      <w:r w:rsidRPr="00BA2363">
        <w:rPr>
          <w:rFonts w:ascii="Cambria" w:hAnsi="Cambria"/>
          <w:color w:val="080808"/>
          <w:sz w:val="20"/>
          <w:szCs w:val="20"/>
        </w:rPr>
        <w:t xml:space="preserve"> Annual Report.</w:t>
      </w:r>
    </w:p>
    <w:p w14:paraId="1E93E066" w14:textId="77777777" w:rsidR="003E6F57" w:rsidRPr="007175E2" w:rsidRDefault="003E6F57" w:rsidP="003E6F57">
      <w:pPr>
        <w:pStyle w:val="ListParagraph"/>
        <w:autoSpaceDE w:val="0"/>
        <w:autoSpaceDN w:val="0"/>
        <w:adjustRightInd w:val="0"/>
        <w:spacing w:after="0" w:line="240" w:lineRule="auto"/>
        <w:ind w:left="0" w:firstLine="709"/>
        <w:jc w:val="both"/>
        <w:rPr>
          <w:rFonts w:ascii="Cambria" w:eastAsia="Batang" w:hAnsi="Cambria" w:cs="Calibri Light"/>
          <w:b/>
          <w:color w:val="080808"/>
        </w:rPr>
      </w:pPr>
    </w:p>
    <w:p w14:paraId="5D18E71D" w14:textId="735CF719" w:rsidR="00840259" w:rsidRPr="003563B4" w:rsidRDefault="00840259" w:rsidP="00840259">
      <w:pPr>
        <w:pStyle w:val="ListParagraph"/>
        <w:numPr>
          <w:ilvl w:val="0"/>
          <w:numId w:val="37"/>
        </w:numPr>
        <w:spacing w:after="0" w:line="240" w:lineRule="auto"/>
        <w:rPr>
          <w:rFonts w:ascii="Cambria" w:hAnsi="Cambria" w:cs="Calibri Light"/>
          <w:b/>
          <w:color w:val="000000"/>
        </w:rPr>
      </w:pPr>
      <w:r w:rsidRPr="003563B4">
        <w:rPr>
          <w:rFonts w:ascii="Cambria" w:hAnsi="Cambria"/>
          <w:b/>
          <w:color w:val="000000"/>
        </w:rPr>
        <w:t xml:space="preserve">INDIVIDUAL AND STRUCTURAL OUTCOMES OF THE CASE </w:t>
      </w:r>
    </w:p>
    <w:p w14:paraId="1F6723F8" w14:textId="77777777" w:rsidR="00840259" w:rsidRPr="003563B4" w:rsidRDefault="00840259" w:rsidP="00840259">
      <w:pPr>
        <w:pStyle w:val="ListParagraph"/>
        <w:ind w:left="0" w:firstLine="720"/>
        <w:rPr>
          <w:rFonts w:ascii="Cambria" w:hAnsi="Cambria" w:cs="Calibri Light"/>
          <w:b/>
          <w:color w:val="000000"/>
        </w:rPr>
      </w:pPr>
    </w:p>
    <w:p w14:paraId="52DBB22A" w14:textId="77777777" w:rsidR="00840259" w:rsidRPr="00BA2363" w:rsidRDefault="00840259" w:rsidP="00840259">
      <w:pPr>
        <w:pStyle w:val="ListParagraph"/>
        <w:numPr>
          <w:ilvl w:val="0"/>
          <w:numId w:val="45"/>
        </w:numPr>
        <w:spacing w:after="0" w:line="240" w:lineRule="auto"/>
        <w:ind w:left="1440" w:hanging="720"/>
        <w:rPr>
          <w:rFonts w:ascii="Cambria" w:hAnsi="Cambria" w:cs="Calibri Light"/>
          <w:b/>
          <w:color w:val="000000"/>
          <w:sz w:val="20"/>
          <w:szCs w:val="20"/>
        </w:rPr>
      </w:pPr>
      <w:r w:rsidRPr="00BA2363">
        <w:rPr>
          <w:rFonts w:ascii="Cambria" w:hAnsi="Cambria"/>
          <w:b/>
          <w:color w:val="000000"/>
          <w:sz w:val="20"/>
          <w:szCs w:val="20"/>
        </w:rPr>
        <w:t>Individual outcomes of the case</w:t>
      </w:r>
    </w:p>
    <w:p w14:paraId="514EE3A0" w14:textId="77777777" w:rsidR="00840259" w:rsidRPr="00BA2363" w:rsidRDefault="00840259" w:rsidP="00840259">
      <w:pPr>
        <w:pStyle w:val="ListParagraph"/>
        <w:ind w:left="1440" w:hanging="720"/>
        <w:jc w:val="both"/>
        <w:rPr>
          <w:rFonts w:cs="Calibri Light"/>
          <w:b/>
          <w:color w:val="000000"/>
          <w:sz w:val="18"/>
          <w:szCs w:val="18"/>
        </w:rPr>
      </w:pPr>
    </w:p>
    <w:p w14:paraId="5A7F6051" w14:textId="77777777" w:rsidR="00840259" w:rsidRPr="00BA2363" w:rsidRDefault="00840259" w:rsidP="00BA2363">
      <w:pPr>
        <w:pStyle w:val="ListParagraph"/>
        <w:numPr>
          <w:ilvl w:val="0"/>
          <w:numId w:val="43"/>
        </w:numPr>
        <w:spacing w:after="0" w:line="240" w:lineRule="auto"/>
        <w:ind w:left="1440" w:hanging="720"/>
        <w:jc w:val="both"/>
        <w:rPr>
          <w:rFonts w:ascii="Cambria" w:hAnsi="Cambria"/>
          <w:sz w:val="20"/>
          <w:szCs w:val="20"/>
        </w:rPr>
      </w:pPr>
      <w:r w:rsidRPr="00BA2363">
        <w:rPr>
          <w:rFonts w:ascii="Cambria" w:hAnsi="Cambria"/>
          <w:sz w:val="20"/>
          <w:szCs w:val="20"/>
        </w:rPr>
        <w:t xml:space="preserve">An ordinary retirement to Mr. Carlos Andrés Fraticelli was granted considering the requirements of the law applicable as of November 8, 2014. </w:t>
      </w:r>
    </w:p>
    <w:p w14:paraId="639EF28B" w14:textId="77777777" w:rsidR="00840259" w:rsidRPr="00BA2363" w:rsidRDefault="00840259" w:rsidP="00BA2363">
      <w:pPr>
        <w:pStyle w:val="ListParagraph"/>
        <w:numPr>
          <w:ilvl w:val="0"/>
          <w:numId w:val="43"/>
        </w:numPr>
        <w:spacing w:after="0" w:line="240" w:lineRule="auto"/>
        <w:ind w:left="1440" w:hanging="720"/>
        <w:jc w:val="both"/>
        <w:rPr>
          <w:rFonts w:ascii="Cambria" w:hAnsi="Cambria"/>
          <w:sz w:val="20"/>
          <w:szCs w:val="20"/>
        </w:rPr>
      </w:pPr>
      <w:r w:rsidRPr="00BA2363">
        <w:rPr>
          <w:rFonts w:ascii="Cambria" w:hAnsi="Cambria"/>
          <w:sz w:val="20"/>
          <w:szCs w:val="20"/>
        </w:rPr>
        <w:t>The determination of the base retirement benefit with 72% with 120 months in the tertiary teaching position and 60 simultaneous months in the position of District First Instance Judge was made.</w:t>
      </w:r>
    </w:p>
    <w:p w14:paraId="63CBA6A5" w14:textId="77777777" w:rsidR="00840259" w:rsidRPr="00BA2363" w:rsidRDefault="00840259" w:rsidP="00BA2363">
      <w:pPr>
        <w:pStyle w:val="ListParagraph"/>
        <w:numPr>
          <w:ilvl w:val="0"/>
          <w:numId w:val="43"/>
        </w:numPr>
        <w:spacing w:after="0" w:line="240" w:lineRule="auto"/>
        <w:ind w:left="1440" w:hanging="720"/>
        <w:jc w:val="both"/>
        <w:rPr>
          <w:rFonts w:ascii="Cambria" w:hAnsi="Cambria"/>
          <w:sz w:val="20"/>
          <w:szCs w:val="20"/>
        </w:rPr>
      </w:pPr>
      <w:r w:rsidRPr="00BA2363">
        <w:rPr>
          <w:rFonts w:ascii="Cambria" w:hAnsi="Cambria"/>
          <w:sz w:val="20"/>
          <w:szCs w:val="20"/>
        </w:rPr>
        <w:t xml:space="preserve">It was established that March 1, 2016, was the date of payment of the retirement benefit. </w:t>
      </w:r>
    </w:p>
    <w:p w14:paraId="348955C8" w14:textId="746D9197" w:rsidR="003E6F57" w:rsidRPr="00BA2363" w:rsidRDefault="00840259" w:rsidP="00BA2363">
      <w:pPr>
        <w:pStyle w:val="ListParagraph"/>
        <w:numPr>
          <w:ilvl w:val="0"/>
          <w:numId w:val="43"/>
        </w:numPr>
        <w:tabs>
          <w:tab w:val="left" w:pos="0"/>
        </w:tabs>
        <w:spacing w:after="0" w:line="240" w:lineRule="auto"/>
        <w:ind w:left="1440" w:right="4" w:hanging="720"/>
        <w:jc w:val="both"/>
        <w:rPr>
          <w:rFonts w:ascii="Cambria" w:eastAsia="MS Mincho" w:hAnsi="Cambria"/>
          <w:color w:val="000000"/>
          <w:sz w:val="20"/>
          <w:szCs w:val="20"/>
        </w:rPr>
      </w:pPr>
      <w:r w:rsidRPr="00BA2363">
        <w:rPr>
          <w:rFonts w:ascii="Cambria" w:hAnsi="Cambria"/>
          <w:sz w:val="20"/>
          <w:szCs w:val="20"/>
        </w:rPr>
        <w:lastRenderedPageBreak/>
        <w:t>The personal contributions in the position of judge for the period corresponding to June 2010 to July 2015 which correspond to the amount of $937,385.00 (nine hundred and thirty-seven thousand three hundred and eighty-five thousand Argentine pesos) was paid and became effective with a 10% monthly discount of his retirement benefit until its total cancellation.</w:t>
      </w:r>
    </w:p>
    <w:sectPr w:rsidR="003E6F57" w:rsidRPr="00BA2363" w:rsidSect="00F9193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AC2D" w14:textId="77777777" w:rsidR="00860E9B" w:rsidRDefault="00860E9B" w:rsidP="00A343FF">
      <w:pPr>
        <w:spacing w:after="0" w:line="240" w:lineRule="auto"/>
      </w:pPr>
      <w:r>
        <w:separator/>
      </w:r>
    </w:p>
  </w:endnote>
  <w:endnote w:type="continuationSeparator" w:id="0">
    <w:p w14:paraId="5FA9C062" w14:textId="77777777" w:rsidR="00860E9B" w:rsidRDefault="00860E9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32E9938D" w14:textId="77777777" w:rsidR="00B966C2" w:rsidRDefault="0035762B" w:rsidP="00B966C2">
    <w:pPr>
      <w:pStyle w:val="Footer"/>
      <w:spacing w:line="360" w:lineRule="auto"/>
    </w:pPr>
    <w:r>
      <w:rPr>
        <w:noProof/>
      </w:rPr>
      <w:pict w14:anchorId="4D6EE8E6">
        <v:rect id="_x0000_i1026" alt="" style="width:441.9pt;height:.05pt;mso-width-percent:0;mso-height-percent:0;mso-width-percent:0;mso-height-percent:0" o:hralign="center" o:hrstd="t" o:hr="t" fillcolor="#a0a0a0" stroked="f"/>
      </w:pict>
    </w:r>
  </w:p>
  <w:p w14:paraId="45CE5373" w14:textId="77777777" w:rsidR="00B966C2" w:rsidRDefault="00B966C2" w:rsidP="00B966C2">
    <w:pPr>
      <w:pStyle w:val="Footer"/>
      <w:jc w:val="center"/>
    </w:pPr>
    <w:r>
      <w:rPr>
        <w:noProof/>
      </w:rPr>
      <w:drawing>
        <wp:inline distT="0" distB="0" distL="0" distR="0" wp14:anchorId="17644AB5" wp14:editId="7D92B2C1">
          <wp:extent cx="5235575" cy="3244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35762B" w:rsidP="008F2248">
    <w:pPr>
      <w:pStyle w:val="Footer"/>
      <w:spacing w:line="360" w:lineRule="auto"/>
    </w:pPr>
    <w:r>
      <w:rPr>
        <w:noProof/>
      </w:rPr>
      <w:pict w14:anchorId="7DFD246B">
        <v:rect id="_x0000_i1028"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8770" w14:textId="77777777" w:rsidR="00860E9B" w:rsidRDefault="00860E9B" w:rsidP="00A343FF">
      <w:pPr>
        <w:spacing w:after="0" w:line="240" w:lineRule="auto"/>
      </w:pPr>
      <w:r>
        <w:separator/>
      </w:r>
    </w:p>
  </w:footnote>
  <w:footnote w:type="continuationSeparator" w:id="0">
    <w:p w14:paraId="64A629FF" w14:textId="77777777" w:rsidR="00860E9B" w:rsidRDefault="00860E9B" w:rsidP="00A343FF">
      <w:pPr>
        <w:spacing w:after="0" w:line="240" w:lineRule="auto"/>
      </w:pPr>
      <w:r>
        <w:continuationSeparator/>
      </w:r>
    </w:p>
  </w:footnote>
  <w:footnote w:id="1">
    <w:p w14:paraId="6BADCEF6" w14:textId="226FA2D0" w:rsidR="00840259" w:rsidRPr="00840259" w:rsidRDefault="00840259" w:rsidP="00840259">
      <w:pPr>
        <w:pStyle w:val="FootnoteText"/>
        <w:ind w:firstLine="709"/>
        <w:jc w:val="both"/>
        <w:rPr>
          <w:rFonts w:ascii="Cambria" w:hAnsi="Cambria"/>
          <w:sz w:val="16"/>
          <w:szCs w:val="16"/>
        </w:rPr>
      </w:pPr>
      <w:r w:rsidRPr="00BA2363">
        <w:rPr>
          <w:rStyle w:val="FootnoteReference"/>
          <w:rFonts w:ascii="Cambria" w:hAnsi="Cambria"/>
          <w:sz w:val="16"/>
          <w:szCs w:val="16"/>
        </w:rPr>
        <w:footnoteRef/>
      </w:r>
      <w:r w:rsidRPr="00BA2363">
        <w:rPr>
          <w:rFonts w:ascii="Cambria" w:hAnsi="Cambria"/>
          <w:sz w:val="16"/>
          <w:szCs w:val="16"/>
        </w:rPr>
        <w:t>Report No. 220/23, Case 13.020</w:t>
      </w:r>
      <w:r w:rsidR="004324F3" w:rsidRPr="00BA2363">
        <w:rPr>
          <w:rFonts w:ascii="Cambria" w:hAnsi="Cambria"/>
          <w:sz w:val="16"/>
          <w:szCs w:val="16"/>
        </w:rPr>
        <w:t>.</w:t>
      </w:r>
      <w:r w:rsidRPr="00BA2363">
        <w:rPr>
          <w:rFonts w:ascii="Cambria" w:hAnsi="Cambria"/>
          <w:sz w:val="16"/>
          <w:szCs w:val="16"/>
        </w:rPr>
        <w:t xml:space="preserve"> </w:t>
      </w:r>
      <w:r w:rsidR="004324F3" w:rsidRPr="004324F3">
        <w:rPr>
          <w:rFonts w:ascii="Cambria" w:hAnsi="Cambria"/>
          <w:sz w:val="16"/>
          <w:szCs w:val="16"/>
        </w:rPr>
        <w:t xml:space="preserve">Friendly Settlement, </w:t>
      </w:r>
      <w:r w:rsidRPr="00BA2363">
        <w:rPr>
          <w:rFonts w:ascii="Cambria" w:hAnsi="Cambria"/>
          <w:sz w:val="16"/>
          <w:szCs w:val="16"/>
        </w:rPr>
        <w:t>Carlos Andrés Fraticelli</w:t>
      </w:r>
      <w:r w:rsidR="004324F3" w:rsidRPr="004324F3">
        <w:rPr>
          <w:rFonts w:ascii="Cambria" w:hAnsi="Cambria"/>
          <w:sz w:val="16"/>
          <w:szCs w:val="16"/>
        </w:rPr>
        <w:t>.</w:t>
      </w:r>
      <w:r w:rsidR="00FD7396" w:rsidRPr="00BA2363">
        <w:rPr>
          <w:rFonts w:ascii="Cambria" w:hAnsi="Cambria"/>
          <w:sz w:val="16"/>
          <w:szCs w:val="16"/>
        </w:rPr>
        <w:t xml:space="preserve"> </w:t>
      </w:r>
      <w:r w:rsidRPr="00BA2363">
        <w:rPr>
          <w:rFonts w:ascii="Cambria" w:hAnsi="Cambria"/>
          <w:sz w:val="16"/>
          <w:szCs w:val="16"/>
        </w:rPr>
        <w:t xml:space="preserve">Argentina, October 22, 2023, available at </w:t>
      </w:r>
      <w:hyperlink r:id="rId1" w:history="1">
        <w:r w:rsidRPr="00BA2363">
          <w:rPr>
            <w:rStyle w:val="Hyperlink"/>
            <w:rFonts w:ascii="Cambria" w:hAnsi="Cambria"/>
            <w:sz w:val="16"/>
            <w:szCs w:val="16"/>
          </w:rPr>
          <w:t>https://www.oas.org/en/iachr/decisions/2023/AR%20SA%2013.020%20EN-FINAL%20WEB.PDF</w:t>
        </w:r>
      </w:hyperlink>
      <w:r>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35762B">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35762B" w:rsidP="00A61B5E">
    <w:pPr>
      <w:pStyle w:val="Header"/>
    </w:pPr>
    <w:r>
      <w:rPr>
        <w:noProof/>
      </w:rPr>
      <w:pict w14:anchorId="3DB91606">
        <v:rect id="_x0000_i1027"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9A9"/>
    <w:multiLevelType w:val="hybridMultilevel"/>
    <w:tmpl w:val="97A8B2AC"/>
    <w:lvl w:ilvl="0" w:tplc="265C13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6568F8"/>
    <w:multiLevelType w:val="hybridMultilevel"/>
    <w:tmpl w:val="FBAED1FE"/>
    <w:lvl w:ilvl="0" w:tplc="1A5EE40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C63E91"/>
    <w:multiLevelType w:val="hybridMultilevel"/>
    <w:tmpl w:val="888004C8"/>
    <w:lvl w:ilvl="0" w:tplc="BF3C0748">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5208E"/>
    <w:multiLevelType w:val="hybridMultilevel"/>
    <w:tmpl w:val="FDE249E8"/>
    <w:lvl w:ilvl="0" w:tplc="E500CDEA">
      <w:start w:val="3"/>
      <w:numFmt w:val="decimal"/>
      <w:lvlText w:val="%1."/>
      <w:lvlJc w:val="left"/>
      <w:pPr>
        <w:ind w:left="1069" w:hanging="360"/>
      </w:pPr>
      <w:rPr>
        <w:rFonts w:eastAsia="Times New Roman" w:cs="Times New Roman" w:hint="default"/>
        <w:b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6"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3"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75602834"/>
    <w:multiLevelType w:val="hybridMultilevel"/>
    <w:tmpl w:val="F6B64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3"/>
  </w:num>
  <w:num w:numId="3" w16cid:durableId="897327684">
    <w:abstractNumId w:val="21"/>
  </w:num>
  <w:num w:numId="4" w16cid:durableId="1141650489">
    <w:abstractNumId w:val="32"/>
  </w:num>
  <w:num w:numId="5" w16cid:durableId="746342540">
    <w:abstractNumId w:val="15"/>
  </w:num>
  <w:num w:numId="6" w16cid:durableId="1621692518">
    <w:abstractNumId w:val="7"/>
  </w:num>
  <w:num w:numId="7" w16cid:durableId="971790784">
    <w:abstractNumId w:val="2"/>
  </w:num>
  <w:num w:numId="8" w16cid:durableId="1387029646">
    <w:abstractNumId w:val="40"/>
  </w:num>
  <w:num w:numId="9" w16cid:durableId="1086881292">
    <w:abstractNumId w:val="8"/>
  </w:num>
  <w:num w:numId="10" w16cid:durableId="1292322756">
    <w:abstractNumId w:val="14"/>
  </w:num>
  <w:num w:numId="11" w16cid:durableId="1000500350">
    <w:abstractNumId w:val="3"/>
  </w:num>
  <w:num w:numId="12" w16cid:durableId="1706103099">
    <w:abstractNumId w:val="39"/>
  </w:num>
  <w:num w:numId="13" w16cid:durableId="1756710271">
    <w:abstractNumId w:val="24"/>
  </w:num>
  <w:num w:numId="14" w16cid:durableId="1099252676">
    <w:abstractNumId w:val="43"/>
  </w:num>
  <w:num w:numId="15" w16cid:durableId="1030109151">
    <w:abstractNumId w:val="18"/>
  </w:num>
  <w:num w:numId="16" w16cid:durableId="1722748191">
    <w:abstractNumId w:val="17"/>
  </w:num>
  <w:num w:numId="17" w16cid:durableId="351491452">
    <w:abstractNumId w:val="31"/>
  </w:num>
  <w:num w:numId="18" w16cid:durableId="1027633537">
    <w:abstractNumId w:val="11"/>
  </w:num>
  <w:num w:numId="19" w16cid:durableId="457845413">
    <w:abstractNumId w:val="30"/>
  </w:num>
  <w:num w:numId="20" w16cid:durableId="1211572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2"/>
  </w:num>
  <w:num w:numId="22" w16cid:durableId="2003926928">
    <w:abstractNumId w:val="12"/>
  </w:num>
  <w:num w:numId="23" w16cid:durableId="1497725357">
    <w:abstractNumId w:val="26"/>
  </w:num>
  <w:num w:numId="24" w16cid:durableId="307248652">
    <w:abstractNumId w:val="28"/>
  </w:num>
  <w:num w:numId="25" w16cid:durableId="1985550389">
    <w:abstractNumId w:val="6"/>
  </w:num>
  <w:num w:numId="26" w16cid:durableId="1478456909">
    <w:abstractNumId w:val="10"/>
  </w:num>
  <w:num w:numId="27" w16cid:durableId="1176925587">
    <w:abstractNumId w:val="4"/>
  </w:num>
  <w:num w:numId="28" w16cid:durableId="1876766616">
    <w:abstractNumId w:val="41"/>
  </w:num>
  <w:num w:numId="29" w16cid:durableId="2142572164">
    <w:abstractNumId w:val="37"/>
  </w:num>
  <w:num w:numId="30" w16cid:durableId="571933528">
    <w:abstractNumId w:val="35"/>
  </w:num>
  <w:num w:numId="31" w16cid:durableId="1861430946">
    <w:abstractNumId w:val="16"/>
  </w:num>
  <w:num w:numId="32" w16cid:durableId="803893092">
    <w:abstractNumId w:val="19"/>
  </w:num>
  <w:num w:numId="33" w16cid:durableId="1739936026">
    <w:abstractNumId w:val="5"/>
  </w:num>
  <w:num w:numId="34" w16cid:durableId="1458915668">
    <w:abstractNumId w:val="34"/>
  </w:num>
  <w:num w:numId="35" w16cid:durableId="1599485303">
    <w:abstractNumId w:val="44"/>
  </w:num>
  <w:num w:numId="36" w16cid:durableId="1664964272">
    <w:abstractNumId w:val="42"/>
  </w:num>
  <w:num w:numId="37" w16cid:durableId="2074966919">
    <w:abstractNumId w:val="36"/>
  </w:num>
  <w:num w:numId="38" w16cid:durableId="20934263">
    <w:abstractNumId w:val="27"/>
  </w:num>
  <w:num w:numId="39" w16cid:durableId="195656616">
    <w:abstractNumId w:val="29"/>
  </w:num>
  <w:num w:numId="40" w16cid:durableId="569771609">
    <w:abstractNumId w:val="0"/>
  </w:num>
  <w:num w:numId="41" w16cid:durableId="849491231">
    <w:abstractNumId w:val="38"/>
  </w:num>
  <w:num w:numId="42" w16cid:durableId="205870381">
    <w:abstractNumId w:val="25"/>
  </w:num>
  <w:num w:numId="43" w16cid:durableId="1256785358">
    <w:abstractNumId w:val="20"/>
  </w:num>
  <w:num w:numId="44" w16cid:durableId="1487474946">
    <w:abstractNumId w:val="23"/>
  </w:num>
  <w:num w:numId="45" w16cid:durableId="140124482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02E3B"/>
    <w:rsid w:val="000161DA"/>
    <w:rsid w:val="000244BA"/>
    <w:rsid w:val="00047B56"/>
    <w:rsid w:val="00054EA0"/>
    <w:rsid w:val="00062031"/>
    <w:rsid w:val="0006625E"/>
    <w:rsid w:val="000667A7"/>
    <w:rsid w:val="00066B38"/>
    <w:rsid w:val="00074D00"/>
    <w:rsid w:val="00096079"/>
    <w:rsid w:val="000B3203"/>
    <w:rsid w:val="000B3318"/>
    <w:rsid w:val="000D32B6"/>
    <w:rsid w:val="000D6F2C"/>
    <w:rsid w:val="001011E0"/>
    <w:rsid w:val="00101E3E"/>
    <w:rsid w:val="00112395"/>
    <w:rsid w:val="0012317E"/>
    <w:rsid w:val="0012326D"/>
    <w:rsid w:val="00124D70"/>
    <w:rsid w:val="0012586C"/>
    <w:rsid w:val="00127F17"/>
    <w:rsid w:val="001511FD"/>
    <w:rsid w:val="001541D4"/>
    <w:rsid w:val="00162518"/>
    <w:rsid w:val="001834F6"/>
    <w:rsid w:val="00195148"/>
    <w:rsid w:val="001C516B"/>
    <w:rsid w:val="001E3F4C"/>
    <w:rsid w:val="00215215"/>
    <w:rsid w:val="0021669C"/>
    <w:rsid w:val="00226F48"/>
    <w:rsid w:val="00236411"/>
    <w:rsid w:val="00240E8E"/>
    <w:rsid w:val="002547E7"/>
    <w:rsid w:val="00260836"/>
    <w:rsid w:val="00277604"/>
    <w:rsid w:val="002859A9"/>
    <w:rsid w:val="00290E09"/>
    <w:rsid w:val="00292B52"/>
    <w:rsid w:val="00294A83"/>
    <w:rsid w:val="00294B17"/>
    <w:rsid w:val="002A39B2"/>
    <w:rsid w:val="002D2348"/>
    <w:rsid w:val="002D40CD"/>
    <w:rsid w:val="002E4FBC"/>
    <w:rsid w:val="002F156A"/>
    <w:rsid w:val="00314A17"/>
    <w:rsid w:val="00324C1A"/>
    <w:rsid w:val="00335042"/>
    <w:rsid w:val="0033665B"/>
    <w:rsid w:val="00336E78"/>
    <w:rsid w:val="003419CC"/>
    <w:rsid w:val="00343CED"/>
    <w:rsid w:val="003563B4"/>
    <w:rsid w:val="0035762B"/>
    <w:rsid w:val="0036283E"/>
    <w:rsid w:val="00371855"/>
    <w:rsid w:val="003764D0"/>
    <w:rsid w:val="00385F0C"/>
    <w:rsid w:val="00393310"/>
    <w:rsid w:val="00394EEF"/>
    <w:rsid w:val="003C4836"/>
    <w:rsid w:val="003E4C2F"/>
    <w:rsid w:val="003E533F"/>
    <w:rsid w:val="003E6F57"/>
    <w:rsid w:val="003F3C6B"/>
    <w:rsid w:val="00402700"/>
    <w:rsid w:val="00417964"/>
    <w:rsid w:val="00420BB1"/>
    <w:rsid w:val="004324F3"/>
    <w:rsid w:val="0043583A"/>
    <w:rsid w:val="004545D1"/>
    <w:rsid w:val="00457BAB"/>
    <w:rsid w:val="00462B02"/>
    <w:rsid w:val="00470C7B"/>
    <w:rsid w:val="0047146A"/>
    <w:rsid w:val="004722BC"/>
    <w:rsid w:val="00472E04"/>
    <w:rsid w:val="0047567D"/>
    <w:rsid w:val="00477BF2"/>
    <w:rsid w:val="004A14E0"/>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84FB4"/>
    <w:rsid w:val="006C2941"/>
    <w:rsid w:val="006C2B06"/>
    <w:rsid w:val="006C7308"/>
    <w:rsid w:val="006E2BD8"/>
    <w:rsid w:val="006F0429"/>
    <w:rsid w:val="006F75AC"/>
    <w:rsid w:val="0070407B"/>
    <w:rsid w:val="00705E57"/>
    <w:rsid w:val="007175E2"/>
    <w:rsid w:val="00727940"/>
    <w:rsid w:val="00727CB1"/>
    <w:rsid w:val="00730193"/>
    <w:rsid w:val="0073227E"/>
    <w:rsid w:val="00732EA4"/>
    <w:rsid w:val="007377D4"/>
    <w:rsid w:val="007565D5"/>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0259"/>
    <w:rsid w:val="00846397"/>
    <w:rsid w:val="008521E0"/>
    <w:rsid w:val="00854914"/>
    <w:rsid w:val="008550EF"/>
    <w:rsid w:val="00860E9B"/>
    <w:rsid w:val="00887CBF"/>
    <w:rsid w:val="00893661"/>
    <w:rsid w:val="008A1CBE"/>
    <w:rsid w:val="008A3DDE"/>
    <w:rsid w:val="008B1EA8"/>
    <w:rsid w:val="008B2A99"/>
    <w:rsid w:val="008B6DA8"/>
    <w:rsid w:val="008E42E1"/>
    <w:rsid w:val="008E751C"/>
    <w:rsid w:val="008F2248"/>
    <w:rsid w:val="009108A4"/>
    <w:rsid w:val="009162E7"/>
    <w:rsid w:val="00941BE5"/>
    <w:rsid w:val="009457D8"/>
    <w:rsid w:val="009500A7"/>
    <w:rsid w:val="0096142F"/>
    <w:rsid w:val="0096419E"/>
    <w:rsid w:val="0098379B"/>
    <w:rsid w:val="00991934"/>
    <w:rsid w:val="00994458"/>
    <w:rsid w:val="009949ED"/>
    <w:rsid w:val="009B1135"/>
    <w:rsid w:val="009B219C"/>
    <w:rsid w:val="009C227B"/>
    <w:rsid w:val="009C4D87"/>
    <w:rsid w:val="009C5BE9"/>
    <w:rsid w:val="009E73F0"/>
    <w:rsid w:val="009F66EA"/>
    <w:rsid w:val="00A109E5"/>
    <w:rsid w:val="00A2502C"/>
    <w:rsid w:val="00A25CA7"/>
    <w:rsid w:val="00A343FF"/>
    <w:rsid w:val="00A61B5E"/>
    <w:rsid w:val="00A678C3"/>
    <w:rsid w:val="00A7029B"/>
    <w:rsid w:val="00A70B4A"/>
    <w:rsid w:val="00A76705"/>
    <w:rsid w:val="00A7781B"/>
    <w:rsid w:val="00A860C7"/>
    <w:rsid w:val="00AA164D"/>
    <w:rsid w:val="00AB0F8C"/>
    <w:rsid w:val="00AB253B"/>
    <w:rsid w:val="00AC2C8E"/>
    <w:rsid w:val="00AD4AC1"/>
    <w:rsid w:val="00AE1B0F"/>
    <w:rsid w:val="00AF2D92"/>
    <w:rsid w:val="00B002D8"/>
    <w:rsid w:val="00B00DB5"/>
    <w:rsid w:val="00B056D9"/>
    <w:rsid w:val="00B063D6"/>
    <w:rsid w:val="00B120EB"/>
    <w:rsid w:val="00B205A7"/>
    <w:rsid w:val="00B3732F"/>
    <w:rsid w:val="00B40F77"/>
    <w:rsid w:val="00B4343F"/>
    <w:rsid w:val="00B60889"/>
    <w:rsid w:val="00B674F5"/>
    <w:rsid w:val="00B74EA5"/>
    <w:rsid w:val="00B8008C"/>
    <w:rsid w:val="00B806AC"/>
    <w:rsid w:val="00B93993"/>
    <w:rsid w:val="00B966C2"/>
    <w:rsid w:val="00BA2363"/>
    <w:rsid w:val="00BA2B9F"/>
    <w:rsid w:val="00BB0A8F"/>
    <w:rsid w:val="00BC3854"/>
    <w:rsid w:val="00BE3089"/>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7797"/>
    <w:rsid w:val="00DB1732"/>
    <w:rsid w:val="00DC0DFA"/>
    <w:rsid w:val="00DC5A37"/>
    <w:rsid w:val="00DC7C8F"/>
    <w:rsid w:val="00DE4A18"/>
    <w:rsid w:val="00DF0FE5"/>
    <w:rsid w:val="00E12118"/>
    <w:rsid w:val="00E177B0"/>
    <w:rsid w:val="00E24621"/>
    <w:rsid w:val="00E3040C"/>
    <w:rsid w:val="00E31824"/>
    <w:rsid w:val="00E42870"/>
    <w:rsid w:val="00E525B3"/>
    <w:rsid w:val="00E6614F"/>
    <w:rsid w:val="00E71ADF"/>
    <w:rsid w:val="00E737AE"/>
    <w:rsid w:val="00E953CE"/>
    <w:rsid w:val="00EC2A38"/>
    <w:rsid w:val="00ED7332"/>
    <w:rsid w:val="00ED73A5"/>
    <w:rsid w:val="00F14821"/>
    <w:rsid w:val="00F43314"/>
    <w:rsid w:val="00F45256"/>
    <w:rsid w:val="00F53B51"/>
    <w:rsid w:val="00F54F60"/>
    <w:rsid w:val="00F61B1D"/>
    <w:rsid w:val="00F62829"/>
    <w:rsid w:val="00F66FEE"/>
    <w:rsid w:val="00F678B0"/>
    <w:rsid w:val="00F74974"/>
    <w:rsid w:val="00F7589F"/>
    <w:rsid w:val="00F8575B"/>
    <w:rsid w:val="00F91934"/>
    <w:rsid w:val="00F9351A"/>
    <w:rsid w:val="00FC304E"/>
    <w:rsid w:val="00FC62AE"/>
    <w:rsid w:val="00FC66C2"/>
    <w:rsid w:val="00FC7694"/>
    <w:rsid w:val="00FD7396"/>
    <w:rsid w:val="00FF3D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6/ARAD387-02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3/AR%20SA%2013.020%20EN-FINAL%20WEB.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3/AR%20SA%2013.020%20EN-FINAL%20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n/iachr/decisions/2023/AR%20SA%2013.020%20EN-FINAL%20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2.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4.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5.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